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ABE26">
      <w:pPr>
        <w:rPr>
          <w:rFonts w:hint="eastAsia" w:ascii="黑体" w:hAnsi="黑体" w:eastAsia="黑体" w:cs="黑体"/>
          <w:color w:val="000000"/>
          <w:kern w:val="0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3</w:t>
      </w:r>
    </w:p>
    <w:bookmarkEnd w:id="0"/>
    <w:p w14:paraId="199EF33C">
      <w:pPr>
        <w:jc w:val="center"/>
        <w:rPr>
          <w:rFonts w:hint="eastAsia" w:ascii="黑体" w:hAnsi="华文中宋" w:eastAsia="黑体"/>
          <w:sz w:val="36"/>
          <w:szCs w:val="36"/>
        </w:rPr>
      </w:pPr>
      <w:r>
        <w:rPr>
          <w:rFonts w:hint="eastAsia" w:ascii="黑体" w:hAnsi="华文中宋" w:eastAsia="黑体"/>
          <w:sz w:val="36"/>
          <w:szCs w:val="36"/>
        </w:rPr>
        <w:t>202</w:t>
      </w:r>
      <w:r>
        <w:rPr>
          <w:rFonts w:hint="eastAsia" w:ascii="黑体" w:hAnsi="华文中宋" w:eastAsia="黑体"/>
          <w:sz w:val="36"/>
          <w:szCs w:val="36"/>
          <w:lang w:val="en-US" w:eastAsia="zh-CN"/>
        </w:rPr>
        <w:t>3</w:t>
      </w:r>
      <w:r>
        <w:rPr>
          <w:rFonts w:hint="eastAsia" w:ascii="黑体" w:hAnsi="华文中宋" w:eastAsia="黑体"/>
          <w:sz w:val="36"/>
          <w:szCs w:val="36"/>
        </w:rPr>
        <w:t>-20</w:t>
      </w:r>
      <w:r>
        <w:rPr>
          <w:rFonts w:hint="eastAsia" w:ascii="黑体" w:hAnsi="华文中宋" w:eastAsia="黑体"/>
          <w:sz w:val="36"/>
          <w:szCs w:val="36"/>
          <w:lang w:val="en-US" w:eastAsia="zh-CN"/>
        </w:rPr>
        <w:t>24</w:t>
      </w:r>
      <w:r>
        <w:rPr>
          <w:rFonts w:hint="eastAsia" w:ascii="黑体" w:hAnsi="华文中宋" w:eastAsia="黑体"/>
          <w:sz w:val="36"/>
          <w:szCs w:val="36"/>
        </w:rPr>
        <w:t>学年本科教学质量报告数据指标</w:t>
      </w:r>
    </w:p>
    <w:p w14:paraId="03EAC8FB">
      <w:pPr>
        <w:jc w:val="center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黑体" w:hAnsi="华文中宋" w:eastAsia="黑体"/>
          <w:sz w:val="36"/>
          <w:szCs w:val="36"/>
        </w:rPr>
        <w:t>及负责单位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5310"/>
        <w:gridCol w:w="2380"/>
      </w:tblGrid>
      <w:tr w14:paraId="11A0D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C260A2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98CD5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数据指标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9A40A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负责单位</w:t>
            </w:r>
          </w:p>
        </w:tc>
      </w:tr>
      <w:tr w14:paraId="47F6C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061AE5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096263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本科生占全日制在校生比例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A73F7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2767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276B585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936EF8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1-1本科生人数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C691FE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76E2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51F96C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31A5B77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1-2研究生人数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3E6E4C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研究生</w:t>
            </w:r>
            <w:r>
              <w:rPr>
                <w:rFonts w:hint="eastAsia" w:ascii="仿宋_GB2312" w:hAnsi="Times New Roman" w:eastAsia="仿宋_GB2312"/>
                <w:sz w:val="24"/>
                <w:szCs w:val="24"/>
                <w:lang w:val="en-US" w:eastAsia="zh-CN"/>
              </w:rPr>
              <w:t>院</w:t>
            </w:r>
          </w:p>
        </w:tc>
      </w:tr>
      <w:tr w14:paraId="7FB9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767A64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BA0E21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1-3继续教育生人数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58A5D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继续教育学院</w:t>
            </w:r>
          </w:p>
        </w:tc>
      </w:tr>
      <w:tr w14:paraId="77DC3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CAC9A4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8F90E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1-4本科生占全日制在校生比例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DDF43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623E9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9C751E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802CDB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教师数量及结构（全校及分专业）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B45E2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人力资源处</w:t>
            </w:r>
          </w:p>
        </w:tc>
      </w:tr>
      <w:tr w14:paraId="1D2F2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43AE407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E63DFD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2-1教师总数、专任教师数、外聘教师数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7D16EF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人力资源处</w:t>
            </w:r>
          </w:p>
        </w:tc>
      </w:tr>
      <w:tr w14:paraId="3DB48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6E3907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BE0C26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2-2专任教师的职称结构、学位结构、年龄结构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5F1E0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人力资源处</w:t>
            </w:r>
          </w:p>
        </w:tc>
      </w:tr>
      <w:tr w14:paraId="3493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C1B531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C671F5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专业设置情况（全校本科专业总数、当年本科招生专业总数及当年新增专业、停招专业名单）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09893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7EBC5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46177C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6B0E7F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生师比（全校及分专业）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C0CB9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3FB15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033ADB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3D7D50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生均教学科研仪器设备值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6F6062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后勤处</w:t>
            </w:r>
          </w:p>
        </w:tc>
      </w:tr>
      <w:tr w14:paraId="7B473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8928DB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72297E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当年新增教学科研仪器设备值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806DC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后勤处</w:t>
            </w:r>
          </w:p>
        </w:tc>
      </w:tr>
      <w:tr w14:paraId="16930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278EFB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830507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生均图书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E0079F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图书馆</w:t>
            </w:r>
          </w:p>
        </w:tc>
      </w:tr>
      <w:tr w14:paraId="1582E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FB3B9A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9150B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电子图书、电子期刊总数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B6CCC5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图书馆</w:t>
            </w:r>
          </w:p>
        </w:tc>
      </w:tr>
      <w:tr w14:paraId="7688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7021A0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6D45B6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8-1电子图书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54E12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图书馆</w:t>
            </w:r>
          </w:p>
        </w:tc>
      </w:tr>
      <w:tr w14:paraId="761EA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47B329C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A91F16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8-2电子期刊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1E2BC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图书馆</w:t>
            </w:r>
          </w:p>
        </w:tc>
      </w:tr>
      <w:tr w14:paraId="5A1C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985707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EC67C9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生均教学行政用房（其中生均实验室面积）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6E11A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后勤处</w:t>
            </w:r>
          </w:p>
        </w:tc>
      </w:tr>
      <w:tr w14:paraId="3BEA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B9C16B0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A08BD5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9-1生均教学行政用房面积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B94B7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后勤处</w:t>
            </w:r>
          </w:p>
        </w:tc>
      </w:tr>
      <w:tr w14:paraId="17C7D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EB5AC9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FA304A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9-2生均实验室面积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3BE53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后勤处</w:t>
            </w:r>
          </w:p>
        </w:tc>
      </w:tr>
      <w:tr w14:paraId="11F8A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4BB250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412C7D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生均本科教学日常运行支出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EFFA73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财务处</w:t>
            </w:r>
          </w:p>
        </w:tc>
      </w:tr>
      <w:tr w14:paraId="04D0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7276D32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0C4A3A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本科专项教学经费（自然年度内学校立项用于本科教学改革和建设的专项经费总额）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A4C6FB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财务处</w:t>
            </w:r>
          </w:p>
        </w:tc>
      </w:tr>
      <w:tr w14:paraId="44B84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086ACE5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18350B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生均本科实验经费（自然年度内学校立项用于实验教学运行、维护生均值）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50F09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财务处</w:t>
            </w:r>
          </w:p>
        </w:tc>
      </w:tr>
      <w:tr w14:paraId="788E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16F4D92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77B8F5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生均本科实习经费（自然年度内用于本科培养方案内的实习环节支出经费生均值）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B4765E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财务处</w:t>
            </w:r>
          </w:p>
        </w:tc>
      </w:tr>
      <w:tr w14:paraId="400E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F05562F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7A6F3C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全校开设本科课程总门数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0B6A3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07EE6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29CA99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E551B6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14-1全校开设本科课程总门数（学年度内实际开设的本科培养计划内课程总数，跨学期讲授的同一门课程计一门）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0999BAC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7C463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0ED8ACD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30CDEE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14-2全校开设本科课程总门次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B4D43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0CB30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694908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08052E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实践教学学分占</w:t>
            </w:r>
            <w:r>
              <w:rPr>
                <w:rFonts w:hint="eastAsia" w:ascii="仿宋_GB2312" w:hAnsi="Times New Roman" w:eastAsia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（按学科门类、专业）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E7F240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6980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1C15CCC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559A93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主讲本科课程的教授占教授总数比例（全校及分专业）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64ED5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1E226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01EE64F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40D76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教授主讲本科课程占课程总门次数比例（一门课程的全部课程均由教授授课，记为1；由多名教师共同承担的，按教授实际承担学时比例计算，全校及分专业）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BE642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4DBCC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39F0490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9E9BB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实践教学及实习实训基地（分专业）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95899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2E39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165FC5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C3FD10C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应届本科生毕业率（全校及分专业）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8826D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学工部</w:t>
            </w:r>
          </w:p>
        </w:tc>
      </w:tr>
      <w:tr w14:paraId="6E30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DF52F8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038B7C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应届本科生学位授予率（全校及分专业）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724A3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42C2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7CDB1E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A51B49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应届本科生初次就业率（全校及分专业）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898F8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学工部</w:t>
            </w:r>
          </w:p>
        </w:tc>
      </w:tr>
      <w:tr w14:paraId="52E4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0EFA66A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D07ED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应届本科生体质测试达标率（全校及分专业）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436346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体育教学部</w:t>
            </w:r>
          </w:p>
        </w:tc>
      </w:tr>
      <w:tr w14:paraId="5BE48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C497E87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DD5D2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学生学习满意度（调查方法与结果）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229FD8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5076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1718E44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AB0824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用人单位对毕业生满意度（调查方法与结果）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6473E1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学工部</w:t>
            </w:r>
          </w:p>
        </w:tc>
      </w:tr>
      <w:tr w14:paraId="32D2A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E59721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068382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学生转专业人数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AF462F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  <w:tr w14:paraId="73D7E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687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37BCD30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31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085720">
            <w:pPr>
              <w:spacing w:line="440" w:lineRule="exact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教学班额</w:t>
            </w:r>
          </w:p>
        </w:tc>
        <w:tc>
          <w:tcPr>
            <w:tcW w:w="2380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2BF5C9">
            <w:pPr>
              <w:spacing w:line="440" w:lineRule="exact"/>
              <w:jc w:val="center"/>
              <w:rPr>
                <w:rFonts w:hint="eastAsia" w:ascii="仿宋_GB2312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sz w:val="24"/>
                <w:szCs w:val="24"/>
              </w:rPr>
              <w:t>教务处</w:t>
            </w:r>
          </w:p>
        </w:tc>
      </w:tr>
    </w:tbl>
    <w:p w14:paraId="39CF2E7E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备注：请各单位按照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-202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学年质量报告中的数据指标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格式编制填写</w:t>
      </w:r>
    </w:p>
    <w:p w14:paraId="55907D0E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89F11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33ECB99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mRhMjNiNTk4NjU0ZTdmZWY0MjRjM2U0NWYzYzcifQ=="/>
  </w:docVars>
  <w:rsids>
    <w:rsidRoot w:val="577B0AA1"/>
    <w:rsid w:val="09CC40BF"/>
    <w:rsid w:val="1F6115C2"/>
    <w:rsid w:val="37BF2ED1"/>
    <w:rsid w:val="443A1503"/>
    <w:rsid w:val="45441DC7"/>
    <w:rsid w:val="577B0AA1"/>
    <w:rsid w:val="613F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945</Characters>
  <Lines>0</Lines>
  <Paragraphs>0</Paragraphs>
  <TotalTime>3</TotalTime>
  <ScaleCrop>false</ScaleCrop>
  <LinksUpToDate>false</LinksUpToDate>
  <CharactersWithSpaces>945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2023-10-25T14:56:00Z</dcterms:created>
  <dc:creator>花开</dc:creator>
  <cp:lastModifiedBy>花开</cp:lastModifiedBy>
  <dcterms:modified xsi:type="dcterms:W3CDTF">2024-10-29T02:35:23Z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F2547EA7B2EB48F28AAC7E2852ADB687_11</vt:lpwstr>
  </property>
</Properties>
</file>